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9E0" w:rsidRPr="007239E0" w:rsidRDefault="007239E0" w:rsidP="007239E0">
      <w:pPr>
        <w:suppressAutoHyphens/>
        <w:spacing w:after="0" w:line="312" w:lineRule="auto"/>
        <w:jc w:val="center"/>
        <w:rPr>
          <w:rFonts w:ascii="Arial" w:eastAsia="Calibri" w:hAnsi="Arial" w:cs="Arial"/>
          <w:b/>
          <w:sz w:val="18"/>
          <w:szCs w:val="18"/>
          <w:lang w:eastAsia="lt-LT"/>
        </w:rPr>
      </w:pPr>
      <w:bookmarkStart w:id="0" w:name="_GoBack"/>
      <w:bookmarkEnd w:id="0"/>
      <w:r w:rsidRPr="007239E0">
        <w:rPr>
          <w:rFonts w:ascii="Arial" w:eastAsia="Times New Roman" w:hAnsi="Arial" w:cs="Times New Roman"/>
          <w:b/>
          <w:sz w:val="18"/>
          <w:szCs w:val="24"/>
          <w:lang w:eastAsia="lt-LT"/>
        </w:rPr>
        <w:t>DEKLARACIJA</w:t>
      </w:r>
    </w:p>
    <w:p w:rsidR="007239E0" w:rsidRPr="007239E0" w:rsidRDefault="007239E0" w:rsidP="007239E0">
      <w:pPr>
        <w:suppressAutoHyphens/>
        <w:spacing w:after="0" w:line="312" w:lineRule="auto"/>
        <w:jc w:val="center"/>
        <w:rPr>
          <w:rFonts w:ascii="Arial" w:eastAsia="Calibri" w:hAnsi="Arial" w:cs="Arial"/>
          <w:b/>
          <w:sz w:val="18"/>
          <w:szCs w:val="18"/>
          <w:lang w:eastAsia="lt-LT"/>
        </w:rPr>
      </w:pPr>
      <w:r w:rsidRPr="007239E0">
        <w:rPr>
          <w:rFonts w:ascii="Arial" w:eastAsia="Times New Roman" w:hAnsi="Arial" w:cs="Times New Roman"/>
          <w:b/>
          <w:sz w:val="18"/>
          <w:szCs w:val="24"/>
          <w:lang w:eastAsia="lt-LT"/>
        </w:rPr>
        <w:t>APIE GALUTINĮ NAUDOS GAVĖJĄ</w:t>
      </w:r>
    </w:p>
    <w:p w:rsidR="007239E0" w:rsidRPr="007239E0" w:rsidRDefault="007239E0" w:rsidP="007239E0">
      <w:pPr>
        <w:suppressAutoHyphens/>
        <w:spacing w:after="0" w:line="240" w:lineRule="auto"/>
        <w:ind w:left="4320" w:firstLine="720"/>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w:t>
      </w:r>
    </w:p>
    <w:p w:rsidR="007239E0" w:rsidRPr="007239E0" w:rsidRDefault="007239E0" w:rsidP="007239E0">
      <w:pPr>
        <w:suppressAutoHyphens/>
        <w:spacing w:after="0" w:line="240" w:lineRule="auto"/>
        <w:ind w:left="4332"/>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 </w:t>
      </w:r>
      <w:r w:rsidRPr="007239E0">
        <w:rPr>
          <w:rFonts w:ascii="Arial" w:eastAsia="Times New Roman" w:hAnsi="Arial" w:cs="Times New Roman"/>
          <w:sz w:val="18"/>
          <w:szCs w:val="24"/>
          <w:lang w:eastAsia="lt-LT"/>
        </w:rPr>
        <w:tab/>
        <w:t xml:space="preserve">    (vieta)</w:t>
      </w:r>
      <w:r w:rsidRPr="007239E0">
        <w:rPr>
          <w:rFonts w:ascii="Arial" w:eastAsia="Times New Roman" w:hAnsi="Arial" w:cs="Times New Roman"/>
          <w:sz w:val="18"/>
          <w:szCs w:val="24"/>
          <w:lang w:eastAsia="lt-LT"/>
        </w:rPr>
        <w:tab/>
      </w:r>
      <w:r w:rsidRPr="007239E0">
        <w:rPr>
          <w:rFonts w:ascii="Arial" w:eastAsia="Times New Roman" w:hAnsi="Arial" w:cs="Times New Roman"/>
          <w:sz w:val="18"/>
          <w:szCs w:val="24"/>
          <w:lang w:eastAsia="lt-LT"/>
        </w:rPr>
        <w:tab/>
        <w:t>(data)</w:t>
      </w:r>
    </w:p>
    <w:p w:rsidR="007239E0" w:rsidRPr="007239E0" w:rsidRDefault="007239E0" w:rsidP="007239E0">
      <w:pPr>
        <w:suppressAutoHyphens/>
        <w:spacing w:after="0" w:line="240" w:lineRule="auto"/>
        <w:ind w:left="2832" w:firstLine="708"/>
        <w:contextualSpacing/>
        <w:rPr>
          <w:rFonts w:ascii="Arial" w:eastAsia="Calibri" w:hAnsi="Arial" w:cs="Arial"/>
          <w:sz w:val="18"/>
          <w:szCs w:val="18"/>
          <w:lang w:eastAsia="zh-CN"/>
        </w:rPr>
      </w:pPr>
    </w:p>
    <w:tbl>
      <w:tblPr>
        <w:tblStyle w:val="TableGrid1"/>
        <w:tblW w:w="9526" w:type="dxa"/>
        <w:tblInd w:w="108" w:type="dxa"/>
        <w:tblLook w:val="04A0" w:firstRow="1" w:lastRow="0" w:firstColumn="1" w:lastColumn="0" w:noHBand="0" w:noVBand="1"/>
      </w:tblPr>
      <w:tblGrid>
        <w:gridCol w:w="361"/>
        <w:gridCol w:w="3637"/>
        <w:gridCol w:w="5528"/>
      </w:tblGrid>
      <w:tr w:rsidR="007239E0" w:rsidRPr="007239E0" w:rsidTr="00D10A84">
        <w:tc>
          <w:tcPr>
            <w:tcW w:w="9526" w:type="dxa"/>
            <w:gridSpan w:val="3"/>
            <w:shd w:val="clear" w:color="auto" w:fill="F2F2F2"/>
          </w:tcPr>
          <w:p w:rsidR="007239E0" w:rsidRPr="007239E0" w:rsidRDefault="007239E0" w:rsidP="007239E0">
            <w:pPr>
              <w:jc w:val="center"/>
              <w:rPr>
                <w:rFonts w:ascii="Arial" w:hAnsi="Arial" w:cs="Arial"/>
                <w:sz w:val="18"/>
                <w:szCs w:val="18"/>
                <w:lang w:val="lt-LT"/>
              </w:rPr>
            </w:pPr>
            <w:r w:rsidRPr="007239E0">
              <w:rPr>
                <w:rFonts w:ascii="Arial" w:hAnsi="Arial"/>
                <w:sz w:val="18"/>
                <w:szCs w:val="24"/>
                <w:lang w:val="lt-LT"/>
              </w:rPr>
              <w:t>Duomenys apie klientą (toliau – „Bendrovė“)</w:t>
            </w: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1</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Bendrovės pavadinimas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2</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Adresas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3</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Mokesčių mokėtojo identifikacinis numeris (PVM) </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4</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Jei PVM mokėtojo identifikacinio numerio nėra:</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Atitinkamo įmonių registro pavadinimas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šalis</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C</w:t>
            </w:r>
          </w:p>
        </w:tc>
        <w:tc>
          <w:tcPr>
            <w:tcW w:w="3637" w:type="dxa"/>
          </w:tcPr>
          <w:p w:rsidR="007239E0" w:rsidRPr="007239E0" w:rsidRDefault="007239E0" w:rsidP="007239E0">
            <w:pPr>
              <w:rPr>
                <w:sz w:val="18"/>
                <w:szCs w:val="18"/>
                <w:lang w:val="lt-LT"/>
              </w:rPr>
            </w:pPr>
            <w:r w:rsidRPr="007239E0">
              <w:rPr>
                <w:rFonts w:ascii="Arial" w:hAnsi="Arial"/>
                <w:sz w:val="18"/>
                <w:szCs w:val="24"/>
                <w:lang w:val="lt-LT"/>
              </w:rPr>
              <w:t xml:space="preserve">   Registro numeris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D</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data</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5</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Įstatų pagrindu įgalioto atstovo duomenys (vardas, pavardė, pilietybė)</w:t>
            </w:r>
          </w:p>
        </w:tc>
        <w:tc>
          <w:tcPr>
            <w:tcW w:w="5528" w:type="dxa"/>
            <w:vAlign w:val="center"/>
          </w:tcPr>
          <w:p w:rsidR="007239E0" w:rsidRPr="007239E0" w:rsidRDefault="007239E0" w:rsidP="007239E0">
            <w:pPr>
              <w:rPr>
                <w:rFonts w:ascii="Arial" w:hAnsi="Arial" w:cs="Arial"/>
                <w:sz w:val="18"/>
                <w:szCs w:val="18"/>
                <w:lang w:val="lt-LT"/>
              </w:rPr>
            </w:pPr>
          </w:p>
        </w:tc>
      </w:tr>
    </w:tbl>
    <w:p w:rsidR="007239E0" w:rsidRPr="007239E0" w:rsidRDefault="007239E0" w:rsidP="007239E0">
      <w:pPr>
        <w:suppressAutoHyphens/>
        <w:spacing w:after="60" w:line="240" w:lineRule="auto"/>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Ar Bendrovės vertybiniais popieriais leidžiama prekiauti reguliuojamoje rinkoje, kuriai taikomi informacijos atskleidimo reikalavimai, kylantys iš Europos Sąjungos teisės aktų arba atitinkamų trečiosios šalies teisės aktų: </w:t>
      </w:r>
    </w:p>
    <w:p w:rsidR="007239E0" w:rsidRPr="007239E0" w:rsidRDefault="000C07B3" w:rsidP="007239E0">
      <w:pPr>
        <w:suppressAutoHyphens/>
        <w:spacing w:after="60" w:line="240" w:lineRule="auto"/>
        <w:ind w:left="284" w:firstLine="283"/>
        <w:jc w:val="both"/>
        <w:rPr>
          <w:rFonts w:ascii="Arial" w:eastAsia="Calibri" w:hAnsi="Arial" w:cs="Arial"/>
          <w:sz w:val="18"/>
          <w:szCs w:val="18"/>
          <w:lang w:eastAsia="lt-LT"/>
        </w:rPr>
      </w:pPr>
      <w:sdt>
        <w:sdtPr>
          <w:rPr>
            <w:rFonts w:ascii="MS Gothic" w:eastAsia="MS Gothic" w:hAnsi="MS Gothic" w:cs="Arial"/>
            <w:sz w:val="18"/>
            <w:szCs w:val="18"/>
            <w:lang w:eastAsia="lt-LT"/>
          </w:rPr>
          <w:id w:val="1813987227"/>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TAIP, nurodyti reguliuojamos rinkos pavadinimą: ……………………………………………………...............</w:t>
      </w:r>
    </w:p>
    <w:p w:rsidR="007239E0" w:rsidRPr="007239E0" w:rsidRDefault="000C07B3" w:rsidP="007239E0">
      <w:pPr>
        <w:suppressAutoHyphens/>
        <w:spacing w:after="60" w:line="240" w:lineRule="auto"/>
        <w:ind w:left="360" w:firstLine="207"/>
        <w:jc w:val="both"/>
        <w:rPr>
          <w:rFonts w:ascii="Arial" w:eastAsia="Calibri" w:hAnsi="Arial" w:cs="Arial"/>
          <w:sz w:val="18"/>
          <w:szCs w:val="18"/>
          <w:lang w:eastAsia="lt-LT"/>
        </w:rPr>
      </w:pPr>
      <w:sdt>
        <w:sdtPr>
          <w:rPr>
            <w:rFonts w:ascii="MS Gothic" w:eastAsia="MS Gothic" w:hAnsi="MS Gothic" w:cs="Arial"/>
            <w:sz w:val="18"/>
            <w:szCs w:val="18"/>
            <w:lang w:eastAsia="lt-LT"/>
          </w:rPr>
          <w:id w:val="2005159764"/>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 xml:space="preserve">NE </w:t>
      </w:r>
    </w:p>
    <w:p w:rsidR="007239E0" w:rsidRPr="007239E0" w:rsidRDefault="007239E0" w:rsidP="007239E0">
      <w:pPr>
        <w:suppressAutoHyphens/>
        <w:spacing w:after="60" w:line="240" w:lineRule="auto"/>
        <w:ind w:firstLine="284"/>
        <w:jc w:val="both"/>
        <w:rPr>
          <w:rFonts w:ascii="Arial" w:eastAsia="Calibri" w:hAnsi="Arial" w:cs="Arial"/>
          <w:i/>
          <w:sz w:val="18"/>
          <w:szCs w:val="18"/>
          <w:lang w:eastAsia="lt-LT"/>
        </w:rPr>
      </w:pPr>
      <w:r w:rsidRPr="007239E0">
        <w:rPr>
          <w:rFonts w:ascii="Arial" w:eastAsia="Times New Roman" w:hAnsi="Arial" w:cs="Times New Roman"/>
          <w:i/>
          <w:sz w:val="18"/>
          <w:szCs w:val="24"/>
          <w:lang w:eastAsia="lt-LT"/>
        </w:rPr>
        <w:t>[Nurodžius „</w:t>
      </w:r>
      <w:r w:rsidRPr="007239E0">
        <w:rPr>
          <w:rFonts w:ascii="Cambria Math" w:eastAsia="Times New Roman" w:hAnsi="Cambria Math" w:cs="Times New Roman"/>
          <w:i/>
          <w:sz w:val="18"/>
          <w:szCs w:val="24"/>
          <w:lang w:eastAsia="lt-LT"/>
        </w:rPr>
        <w:t>⎕</w:t>
      </w:r>
      <w:r w:rsidRPr="007239E0">
        <w:rPr>
          <w:rFonts w:ascii="Arial" w:eastAsia="Times New Roman" w:hAnsi="Arial" w:cs="Times New Roman"/>
          <w:i/>
          <w:sz w:val="18"/>
          <w:szCs w:val="24"/>
          <w:lang w:eastAsia="lt-LT"/>
        </w:rPr>
        <w:t xml:space="preserve"> TAIP”, pereikite prie III dalies] </w:t>
      </w:r>
    </w:p>
    <w:p w:rsidR="007239E0" w:rsidRPr="007239E0" w:rsidRDefault="007239E0" w:rsidP="007239E0">
      <w:pPr>
        <w:tabs>
          <w:tab w:val="left" w:pos="426"/>
        </w:tabs>
        <w:suppressAutoHyphens/>
        <w:spacing w:after="60" w:line="240" w:lineRule="auto"/>
        <w:ind w:left="720" w:hanging="294"/>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Bendrovės galutiniai naudos gavėjai yra šie fiziniai asmenys:</w:t>
      </w:r>
    </w:p>
    <w:tbl>
      <w:tblPr>
        <w:tblStyle w:val="TableGrid1"/>
        <w:tblW w:w="6549" w:type="dxa"/>
        <w:tblInd w:w="392" w:type="dxa"/>
        <w:tblLayout w:type="fixed"/>
        <w:tblLook w:val="04A0" w:firstRow="1" w:lastRow="0" w:firstColumn="1" w:lastColumn="0" w:noHBand="0" w:noVBand="1"/>
      </w:tblPr>
      <w:tblGrid>
        <w:gridCol w:w="567"/>
        <w:gridCol w:w="5982"/>
      </w:tblGrid>
      <w:tr w:rsidR="007239E0" w:rsidRPr="007239E0" w:rsidTr="00D10A84">
        <w:tc>
          <w:tcPr>
            <w:tcW w:w="567" w:type="dxa"/>
            <w:shd w:val="clear" w:color="auto" w:fill="F2F2F2"/>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Eil. Nr.</w:t>
            </w:r>
          </w:p>
        </w:tc>
        <w:tc>
          <w:tcPr>
            <w:tcW w:w="5982" w:type="dxa"/>
            <w:shd w:val="clear" w:color="auto" w:fill="F2F2F2"/>
          </w:tcPr>
          <w:p w:rsidR="007239E0" w:rsidRPr="007239E0" w:rsidRDefault="007239E0" w:rsidP="007239E0">
            <w:pPr>
              <w:suppressAutoHyphens/>
              <w:spacing w:after="60"/>
              <w:jc w:val="center"/>
              <w:rPr>
                <w:rFonts w:ascii="Arial" w:hAnsi="Arial" w:cs="Arial"/>
                <w:sz w:val="18"/>
                <w:szCs w:val="18"/>
                <w:lang w:val="lt-LT"/>
              </w:rPr>
            </w:pPr>
            <w:r w:rsidRPr="007239E0">
              <w:rPr>
                <w:rFonts w:ascii="Arial" w:hAnsi="Arial"/>
                <w:sz w:val="18"/>
                <w:szCs w:val="24"/>
                <w:lang w:val="lt-LT"/>
              </w:rPr>
              <w:t>Pavardė ir vardas</w:t>
            </w: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1</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2</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3</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4</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5</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bl>
    <w:p w:rsidR="007239E0" w:rsidRPr="007239E0" w:rsidRDefault="007239E0" w:rsidP="007239E0">
      <w:pPr>
        <w:suppressAutoHyphens/>
        <w:spacing w:after="60" w:line="240" w:lineRule="auto"/>
        <w:ind w:left="284"/>
        <w:contextualSpacing/>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Pareiškimai</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Pareiškiu, kad pirmiau pateikti duomenys mano žiniomis yra teisingi. Pasikeitus pirmiau nurodytai informacijai įsipareigoju atnaujinti duomenis per 7 dienas nuo pasikeitimo momento ir pateikti papildomus dokumentus, patvirtinančius duomenų autentiškumą, jei to prireiktų.</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Aš, toliau pasirašęs, patvirtinu, kad susipažinau su 7.1 priedėlyje pateikta informacija apie mano asmens duomenų, nurodytų šioje akcinei bendrovei „ORLEN Lietuva“ (toliau – „ORLEN“) teikiamoje deklaracijoje, tvarkymą. Įsipareigoju nedelsiant, ne vėliau kaip per 30 (trisdešimt) dienų nuo šios deklaracijos pateikimo dienos, ORLEN, kaip duomenų administratoriui, apibrėžtam taikomuose asmens duomenų apsaugą reglamentuojančiuose teisės aktuose, perduoti fizinių asmenų, kurių duomenys nurodyti šioje deklaracijoje, informavimo prievolę. Pirmiau nurodyta prievolė įgyvendinama tokiems fiziniams asmenims pateikiant šios deklaracijos 1 priedėlyje nurodytą informaciją.</w:t>
      </w:r>
    </w:p>
    <w:p w:rsidR="007239E0" w:rsidRPr="007239E0" w:rsidRDefault="007239E0" w:rsidP="007239E0">
      <w:pPr>
        <w:suppressAutoHyphens/>
        <w:spacing w:after="60" w:line="240" w:lineRule="auto"/>
        <w:jc w:val="both"/>
        <w:rPr>
          <w:rFonts w:ascii="Arial" w:eastAsia="Calibri" w:hAnsi="Arial" w:cs="Arial"/>
          <w:sz w:val="18"/>
          <w:szCs w:val="18"/>
          <w:lang w:eastAsia="zh-CN"/>
        </w:rPr>
      </w:pPr>
    </w:p>
    <w:tbl>
      <w:tblPr>
        <w:tblStyle w:val="TableGrid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7239E0" w:rsidRPr="007239E0" w:rsidTr="00D10A84">
        <w:tc>
          <w:tcPr>
            <w:tcW w:w="4531" w:type="dxa"/>
            <w:gridSpan w:val="2"/>
            <w:tcBorders>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c>
          <w:tcPr>
            <w:tcW w:w="284" w:type="dxa"/>
            <w:tcBorders>
              <w:top w:val="nil"/>
              <w:left w:val="single" w:sz="4" w:space="0" w:color="auto"/>
              <w:bottom w:val="nil"/>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eastAsia="zh-CN"/>
              </w:rPr>
            </w:pPr>
          </w:p>
        </w:tc>
        <w:tc>
          <w:tcPr>
            <w:tcW w:w="4819" w:type="dxa"/>
            <w:gridSpan w:val="2"/>
            <w:tcBorders>
              <w:lef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118" w:type="dxa"/>
            <w:tcBorders>
              <w:right w:val="single" w:sz="4" w:space="0" w:color="auto"/>
            </w:tcBorders>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center"/>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543" w:type="dxa"/>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r>
    </w:tbl>
    <w:p w:rsidR="007239E0" w:rsidRPr="007239E0" w:rsidRDefault="007239E0" w:rsidP="007239E0">
      <w:pPr>
        <w:suppressAutoHyphens/>
        <w:spacing w:after="0" w:line="276" w:lineRule="auto"/>
        <w:rPr>
          <w:rFonts w:ascii="Arial" w:eastAsia="Calibri" w:hAnsi="Arial" w:cs="Arial"/>
          <w:sz w:val="16"/>
          <w:szCs w:val="16"/>
          <w:u w:val="single"/>
          <w:lang w:eastAsia="lt-LT"/>
        </w:rPr>
      </w:pPr>
      <w:r w:rsidRPr="007239E0">
        <w:rPr>
          <w:rFonts w:ascii="Arial" w:eastAsia="Times New Roman" w:hAnsi="Arial" w:cs="Times New Roman"/>
          <w:i/>
          <w:sz w:val="16"/>
          <w:szCs w:val="24"/>
          <w:lang w:eastAsia="lt-LT"/>
        </w:rPr>
        <w:t>*</w:t>
      </w:r>
      <w:r w:rsidRPr="007239E0">
        <w:rPr>
          <w:rFonts w:ascii="Georgia" w:eastAsia="Times New Roman" w:hAnsi="Georgia" w:cs="Times New Roman"/>
          <w:sz w:val="16"/>
          <w:szCs w:val="24"/>
          <w:lang w:eastAsia="lt-LT"/>
        </w:rPr>
        <w:t xml:space="preserve"> </w:t>
      </w:r>
      <w:r w:rsidRPr="007239E0">
        <w:rPr>
          <w:rFonts w:ascii="Arial" w:eastAsia="Times New Roman" w:hAnsi="Arial" w:cs="Times New Roman"/>
          <w:i/>
          <w:sz w:val="16"/>
          <w:szCs w:val="24"/>
          <w:lang w:eastAsia="lt-LT"/>
        </w:rPr>
        <w:t xml:space="preserve">nereikalingą išbraukti </w:t>
      </w:r>
    </w:p>
    <w:p w:rsidR="007239E0" w:rsidRPr="007239E0" w:rsidRDefault="007239E0" w:rsidP="007239E0">
      <w:pPr>
        <w:suppressAutoHyphens/>
        <w:spacing w:after="0" w:line="276" w:lineRule="auto"/>
        <w:rPr>
          <w:rFonts w:ascii="Arial" w:eastAsia="Calibri" w:hAnsi="Arial" w:cs="Arial"/>
          <w:sz w:val="18"/>
          <w:szCs w:val="18"/>
          <w:u w:val="single"/>
          <w:lang w:eastAsia="zh-CN"/>
        </w:rPr>
      </w:pP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Priedėliai:</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1 priedėlis – Informacija </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2 priedėlis – Paaiškinimai prie deklaracijos apie galutinį naudos gavėją</w:t>
      </w:r>
    </w:p>
    <w:p w:rsidR="007239E0" w:rsidRPr="007239E0" w:rsidRDefault="007239E0" w:rsidP="007239E0">
      <w:pPr>
        <w:spacing w:after="240" w:line="240" w:lineRule="auto"/>
        <w:ind w:left="5616"/>
        <w:jc w:val="right"/>
        <w:rPr>
          <w:rFonts w:ascii="Arial" w:eastAsia="Times New Roman" w:hAnsi="Arial" w:cs="Times New Roman"/>
          <w:b/>
          <w:i/>
          <w:sz w:val="16"/>
          <w:szCs w:val="24"/>
          <w:u w:val="single"/>
          <w:lang w:eastAsia="lt-LT"/>
        </w:rPr>
      </w:pPr>
    </w:p>
    <w:p w:rsidR="007239E0" w:rsidRPr="007239E0" w:rsidRDefault="007239E0" w:rsidP="007239E0">
      <w:pPr>
        <w:spacing w:after="240" w:line="240" w:lineRule="auto"/>
        <w:ind w:left="5616"/>
        <w:jc w:val="right"/>
        <w:rPr>
          <w:rFonts w:ascii="Arial" w:eastAsia="Calibri" w:hAnsi="Arial" w:cs="Arial"/>
          <w:b/>
          <w:i/>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1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keepNext/>
        <w:keepLines/>
        <w:widowControl w:val="0"/>
        <w:spacing w:after="220" w:line="276" w:lineRule="auto"/>
        <w:jc w:val="center"/>
        <w:outlineLvl w:val="0"/>
        <w:rPr>
          <w:rFonts w:ascii="Arial" w:eastAsia="Arial" w:hAnsi="Arial" w:cs="Arial"/>
          <w:b/>
          <w:bCs/>
          <w:sz w:val="16"/>
          <w:szCs w:val="16"/>
          <w:lang w:eastAsia="lt-LT"/>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239E0">
        <w:rPr>
          <w:rFonts w:ascii="Arial" w:eastAsia="Times New Roman" w:hAnsi="Arial" w:cs="Times New Roman"/>
          <w:b/>
          <w:sz w:val="16"/>
          <w:szCs w:val="24"/>
          <w:lang w:eastAsia="lt-LT"/>
        </w:rPr>
        <w:t xml:space="preserve">Informacija </w:t>
      </w:r>
    </w:p>
    <w:bookmarkEnd w:id="14"/>
    <w:bookmarkEnd w:id="15"/>
    <w:bookmarkEnd w:id="16"/>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Akcinė bendrovė „ORLEN Lietuva“, kurios registruota buveinė įsikūrusi adresu Mažeikių g. 75, Juodeikių k., 89453 Mažeikių r. sav. (toliau – ORLEN) informuoja, kad yra Jūsų asmens duomenų valdytojas. Kontaktiniai duomenys: +370 443 92121.</w:t>
      </w:r>
    </w:p>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Su ORLEN duomenų apsaugos pareigūnu galite susisiekti el. paštu: </w:t>
      </w:r>
      <w:hyperlink r:id="rId7"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Taip pat su duomenų apsaugos pareigūnu galite susisiekti siųsdami raštą pirmiau nurodytu ORLEN buveinės adresu su prierašu „Duomenų apsaugos pareigūnui“. Informacija apie duomenų apsaugos pareigūną pateikiama ir interneto svetainės </w:t>
      </w:r>
      <w:r w:rsidRPr="007239E0">
        <w:rPr>
          <w:rFonts w:ascii="Arial" w:eastAsia="Times New Roman" w:hAnsi="Arial" w:cs="Times New Roman"/>
          <w:sz w:val="16"/>
          <w:szCs w:val="24"/>
          <w:u w:val="single"/>
          <w:lang w:eastAsia="lt-LT"/>
        </w:rPr>
        <w:t>www.orlenlietuva.lt</w:t>
      </w:r>
      <w:r w:rsidRPr="007239E0">
        <w:rPr>
          <w:rFonts w:ascii="Arial" w:eastAsia="Times New Roman" w:hAnsi="Arial" w:cs="Times New Roman"/>
          <w:sz w:val="16"/>
          <w:szCs w:val="24"/>
          <w:lang w:eastAsia="lt-LT"/>
        </w:rPr>
        <w:t xml:space="preserve"> skiltyje „Privatumo politika“.</w:t>
      </w: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tvarkomi šiais tikslais: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veiklą, kuria siekiama užmegzti bendradarbiavimą ir sudaryti bei vykdyti sutartį su šalimi, kurios galutiniu naudos gavėju esate;</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ORLEN teisinius įsipareigojimus, įskaitant:</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įpareigotojo subjekto prievoles, nustatytas 1997 m. birželio 19 d. Lietuvos Respublikos pinigų plovimo ir teroristų finansavimo prevencijos įstatyme Nr. VIII-275 (2017 m. liepos 13 d. Nr. XIII-568 galiojanti redakcija);</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prievoles, kylančias iš mokesčių teisės aktų, įskaitant prievoles, susijusias su pareiga teikti mokesčių institucijoms informaciją apie apmokestinimo schemas;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Tikrinant jūsų duomenų teisingumą ir nustatant jų savalaikio pateikimo terminus bei atliekant jūsų patikimumo patikrinimą, siekiant apsaugoti ORLEN ekonominius ir teisinius interesus, visų pirma tikrinant, ar duomenys apie jus nėra įtraukti į asmenų, kuriems taikomos sankcijos, sąrašus;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Nagrinėjant, rengiant ieškininius pareiškimus ar gynybą ieškininių pareiškimų atveju.</w:t>
      </w:r>
    </w:p>
    <w:p w:rsidR="007239E0" w:rsidRPr="007239E0" w:rsidRDefault="007239E0" w:rsidP="007239E0">
      <w:pPr>
        <w:spacing w:after="0" w:line="276" w:lineRule="auto"/>
        <w:ind w:left="567"/>
        <w:jc w:val="both"/>
        <w:rPr>
          <w:rFonts w:ascii="Arial" w:eastAsia="Georgia" w:hAnsi="Arial" w:cs="Arial"/>
          <w:sz w:val="16"/>
          <w:szCs w:val="16"/>
        </w:rPr>
      </w:pP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duomenų tvarkymo pirmiau 3 punkte nurodytais tikslais teisinis pagrindas, atsižvelgiant į bendradarbiavimo su ORLEN pobūdį, yra:</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Sutarties sudarymas ir vykdymas (sutinkamai su BDAR 6 str. 1(b) dalimi) 3(a) punkte nurodytais tikslais;</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Teisinių prievolių vykdymas (sutinkamai su BDAR 6 str. 1(c) dalimi) 3(b) punkte nurodytais tikslais;</w:t>
      </w:r>
    </w:p>
    <w:p w:rsidR="007239E0" w:rsidRPr="007239E0" w:rsidRDefault="007239E0" w:rsidP="007239E0">
      <w:pPr>
        <w:numPr>
          <w:ilvl w:val="0"/>
          <w:numId w:val="9"/>
        </w:numPr>
        <w:spacing w:before="240"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Teisėti ORLEN interesai (sutinkamai su BDAR 6 str. 1(f) dalimi) 3(c) ir 3(d) punktuose numatytais tikslais, t.y. užtikrinant ORLEN interesų (ekonominių, susijusių su įvaizdžiu ir teisinių) apsaugą sudarant sutartis ir tęsiant verslo santykius bei nagrinėjant, rengiant ieškininius pareiškimus ar gynybos ieškininių pareiškimų atveju.</w:t>
      </w:r>
    </w:p>
    <w:p w:rsidR="007239E0" w:rsidRPr="007239E0" w:rsidRDefault="007239E0" w:rsidP="007239E0">
      <w:pPr>
        <w:spacing w:before="240" w:after="240" w:line="276" w:lineRule="auto"/>
        <w:ind w:left="567"/>
        <w:contextualSpacing/>
        <w:jc w:val="both"/>
        <w:rPr>
          <w:rFonts w:ascii="Arial" w:eastAsia="Georgia" w:hAnsi="Arial" w:cs="Arial"/>
          <w:sz w:val="16"/>
          <w:szCs w:val="16"/>
        </w:rPr>
      </w:pPr>
    </w:p>
    <w:p w:rsidR="007239E0" w:rsidRPr="007239E0" w:rsidRDefault="007239E0" w:rsidP="007239E0">
      <w:pPr>
        <w:numPr>
          <w:ilvl w:val="0"/>
          <w:numId w:val="1"/>
        </w:numPr>
        <w:spacing w:before="240"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kuriuos ORLEN pateikėte asmeniškai arba per asmenį (asmenis), įgaliotą (įgaliotus) veikti kliento vardu, t.y. duomenys apie paslaugas ORLEN teikiantį arba ketinantį teikti subjektą, kurio galutinis naudos gavėjas esate, yra vardas, pavardė, pilietybė, asmens kodas, gimimo data, asmens tapatybę patvirtinančio dokumento serija ir numeris, gyvenamosios vietos adresas ir faktas, kad asmuo yra politikoje dalyvaujantis asmuo arba politikoje dalyvaujančio asmens šeimos narys ar jam artimas asmuo.</w:t>
      </w:r>
    </w:p>
    <w:p w:rsidR="007239E0" w:rsidRPr="007239E0" w:rsidRDefault="007239E0" w:rsidP="007239E0">
      <w:pPr>
        <w:spacing w:after="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duomenis ORLEN gali atskleisti subjektams ir institucijoms, įgaliotoms tvarkyti tokius duomenis įstatymų pagrindu. Jūsų asmens duomenys taip pat gali būti atskleisti, kai tai būtina pirmiau 3 punkte nurodytiems tvarkymo tikslams, ORLEN Grupės bendrovėms ir subjektams (gavėjams), bendradarbiaujantiems vykdant sutartis, visų pirma subjektams, teikiantiems IT paslaugas, sąskaitų faktūrų tvarkymo, gautinų sumų apmokėjimo, korespondencijos pristatymo, konsultavimo paslaugas, teisines paslaugas, skolų išieškojimo, dokumentų archyvavimo paslaugas.</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tabs>
          <w:tab w:val="left" w:pos="284"/>
        </w:tabs>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saugomi visu sutarties galiojimo laikotarpiu ir 5 metus jai pasibaigus, tačiau ne trumpiau nei bus išspręstos abipusės pretenzijos, kylančios iš sudarytos sutarties. Asmens duomenys teikiami savanoriškai, tačiau jie yra būtini sutarčiai sudaryti ir ją vykdyti.</w:t>
      </w:r>
    </w:p>
    <w:p w:rsidR="007239E0" w:rsidRPr="007239E0" w:rsidRDefault="007239E0" w:rsidP="007239E0">
      <w:pPr>
        <w:numPr>
          <w:ilvl w:val="0"/>
          <w:numId w:val="1"/>
        </w:numPr>
        <w:tabs>
          <w:tab w:val="left" w:pos="284"/>
        </w:tabs>
        <w:spacing w:after="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šias su tvarkomais asmens duomenimis susijusias teises: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susipažinti su duomenimis;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ištaisyti asmens duomenis;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ištrinti duomenis ar apriboti duomenų tvarkymą,</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į duomenų perkeliamumą; </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nesutikti su duomenų tvarkymu tais atvejais, kai ORLEN jūsų asmens duomenis tvarko teisėtų interesų pagrindu; nesutikimas gali būti pareikštas ypatingomis aplinkybėmis. </w:t>
      </w:r>
    </w:p>
    <w:p w:rsidR="007239E0" w:rsidRPr="007239E0" w:rsidRDefault="007239E0" w:rsidP="007239E0">
      <w:pPr>
        <w:widowControl w:val="0"/>
        <w:tabs>
          <w:tab w:val="left" w:pos="1075"/>
        </w:tabs>
        <w:spacing w:after="0" w:line="276" w:lineRule="auto"/>
        <w:ind w:left="567"/>
        <w:jc w:val="both"/>
        <w:rPr>
          <w:rFonts w:ascii="Arial" w:eastAsia="Arial" w:hAnsi="Arial" w:cs="Arial"/>
          <w:sz w:val="16"/>
          <w:szCs w:val="16"/>
        </w:rPr>
      </w:pPr>
    </w:p>
    <w:p w:rsidR="007239E0" w:rsidRPr="007239E0" w:rsidRDefault="007239E0" w:rsidP="007239E0">
      <w:pPr>
        <w:spacing w:after="0" w:line="276" w:lineRule="auto"/>
        <w:ind w:left="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Prašymą dėl minėtų teisių įgyvendinimo galite siųsti el. paštu adresu: </w:t>
      </w:r>
      <w:hyperlink r:id="rId8"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arba laišku, deklaracijoje nurodytu adresu, su prierašu „Duomenų apsaugos pareigūnui“.</w:t>
      </w:r>
    </w:p>
    <w:p w:rsidR="007239E0" w:rsidRPr="007239E0" w:rsidRDefault="007239E0" w:rsidP="007239E0">
      <w:pPr>
        <w:spacing w:after="0" w:line="276" w:lineRule="auto"/>
        <w:ind w:left="284"/>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teisę pateikti skundą Valstybinei duomenų apsaugos inspekcijai.</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40" w:line="240" w:lineRule="auto"/>
        <w:ind w:left="3600" w:firstLine="720"/>
        <w:jc w:val="right"/>
        <w:rPr>
          <w:rFonts w:ascii="Arial" w:eastAsia="Georgia" w:hAnsi="Arial" w:cs="Arial"/>
          <w:b/>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7.2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suppressAutoHyphens/>
        <w:spacing w:after="240" w:line="240" w:lineRule="auto"/>
        <w:contextualSpacing/>
        <w:jc w:val="center"/>
        <w:rPr>
          <w:rFonts w:ascii="Arial" w:eastAsia="Calibri" w:hAnsi="Arial" w:cs="Arial"/>
          <w:sz w:val="16"/>
          <w:szCs w:val="16"/>
          <w:lang w:eastAsia="lt-LT"/>
        </w:rPr>
      </w:pPr>
      <w:r w:rsidRPr="007239E0">
        <w:rPr>
          <w:rFonts w:ascii="Arial" w:eastAsia="Times New Roman" w:hAnsi="Arial" w:cs="Times New Roman"/>
          <w:b/>
          <w:sz w:val="16"/>
          <w:szCs w:val="24"/>
          <w:lang w:eastAsia="lt-LT"/>
        </w:rPr>
        <w:t xml:space="preserve">Paaiškinimai dėl deklaracijos apie galutinį naudos gavėją </w:t>
      </w:r>
    </w:p>
    <w:p w:rsidR="007239E0" w:rsidRPr="007239E0" w:rsidRDefault="007239E0" w:rsidP="007239E0">
      <w:pPr>
        <w:suppressAutoHyphens/>
        <w:spacing w:after="240" w:line="240" w:lineRule="auto"/>
        <w:contextualSpacing/>
        <w:jc w:val="both"/>
        <w:rPr>
          <w:rFonts w:ascii="Arial" w:eastAsia="Calibri" w:hAnsi="Arial" w:cs="Arial"/>
          <w:sz w:val="16"/>
          <w:szCs w:val="16"/>
          <w:lang w:eastAsia="zh-CN"/>
        </w:rPr>
      </w:pPr>
    </w:p>
    <w:p w:rsidR="007239E0" w:rsidRPr="007239E0" w:rsidRDefault="007239E0" w:rsidP="007239E0">
      <w:pPr>
        <w:suppressAutoHyphens/>
        <w:spacing w:after="240" w:line="240" w:lineRule="auto"/>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Kaip apibrėžta 1997 m. birželio 19 d. Lietuvos Respublikos pinigų plovimo ir teroristų finansavimo prevencijos įstatyme Nr. VIII-275 (2017 m. liepos 13 d. Nr. XIII-568 galiojanti redakcija), kuriuo įgyvendinama:</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2015 m. gegužės 20 d. EUROPOS PARLAMENTO IR TARYBOS DIREKTYVA (ES) 2015/849 dėl finansų sistemos naudojimo pinigų plovimui ar teroristų finansavimui prevencijos, kuria iš dalies keičiamas Europos Parlamento ir Tarybos reglamentas (ES) Nr. 648/2012 ir panaikinama Europos Parlamento ir Tarybos direktyva 2005/60/EB; ir</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2018 m. gegužės 30 d. EUROPOS PARLAMENTO IR TARYBOS DIREKTYVA (ES) 2018/843, kuria iš dalies keičiama Direktyva (ES) 2015/849 dėl finansų sistemos naudojimo pinigų plovimui ar teroristų finansavimui prevencijos ir iš dalies keičiamos direktyvos 2009/138/EB ir 2013/36/ES,</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7"/>
        </w:numPr>
        <w:suppressAutoHyphens/>
        <w:spacing w:after="240" w:line="240" w:lineRule="auto"/>
        <w:ind w:left="284" w:hanging="284"/>
        <w:contextualSpacing/>
        <w:rPr>
          <w:rFonts w:ascii="Arial" w:eastAsia="Calibri" w:hAnsi="Arial" w:cs="Arial"/>
          <w:b/>
          <w:sz w:val="16"/>
          <w:szCs w:val="16"/>
          <w:lang w:eastAsia="lt-LT"/>
        </w:rPr>
      </w:pPr>
      <w:r w:rsidRPr="007239E0">
        <w:rPr>
          <w:rFonts w:ascii="Arial" w:eastAsia="Times New Roman" w:hAnsi="Arial" w:cs="Times New Roman"/>
          <w:b/>
          <w:sz w:val="16"/>
          <w:szCs w:val="24"/>
          <w:lang w:eastAsia="lt-LT"/>
        </w:rPr>
        <w:t>GALUTINIS NAUDOS GAVĖJAS</w:t>
      </w:r>
    </w:p>
    <w:p w:rsidR="007239E0" w:rsidRPr="007239E0" w:rsidRDefault="007239E0" w:rsidP="007239E0">
      <w:pPr>
        <w:suppressAutoHyphens/>
        <w:spacing w:after="240" w:line="240" w:lineRule="auto"/>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Galutinis naudos gavėjas – fizinis asmuo, kuriam priklauso tiesioginė ar netiesioginė kliento kontrolė turimų įgaliojimų pagrindu, atsiradusi dėl teisinių ar faktinių aplinkybių, leidžiančių daryti esminę įtaką kliento ar bet kurio fizinio asmens, kurio vardu užmezgami verslo santykiai arba sudaromas sandoris, veiklai ar veiksmams, įskaitant:</w:t>
      </w: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Juridinių asmenų, išskyrus bendroves, įtrauktas į biržos sąrašus reguliuojamoje rinkoje, kurioje taikomi reikalavimai atskleisti informaciją, atitinkantys Europos Sąjungos teisę, arba lygiaverčiai trečiosios šalies teisės aktai,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kuris turi 25 % ir vieną akciją arba didesnę negu 25 % tokio juridinio asmens nuosavybės dalį;</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25 % visų balsų tokio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kontroliuojantis juridinį asmenį ar juridinius asmenis, kuriems bendra nuosavybės teise priklauso daugiau kaip 25 % visų akcijų ar kapitalo, arba kuriam priklauso daugiau kaip 25 % visų balsų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juridinio asmens kontrolė suteiktų įgaliojimų pagrindu, t.y. fizinis asmuo, kontroliuojantis juridinį asmenį tokių pačių kaip ir patronuojančios bendrovės įgaliojimų pagrindu, arba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einantis vyresniojo vadovo pareigas, jei, panaudojus visas įmanomas priemones ir neturint pagrįstų įtarimų, pirmame–ketvirtame papunkčiuose nurodytas asmuo nenustatytas, ir nepasitvirtinus įtarimams dėl pinigų plovimo ar teroristų finansavimo.</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Patikos struktūrų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patikėtojas,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patikėtinis,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saugotojas, jei esama,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naudos gavėjas, jei asmenys, gaunantys naudos iš patikos struktūrų, dar nėra žinomi, arba asmenų, kurių interesams atstovauti tokia patikos struktūra yra sukurta arba atstovauja, klasė;</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faktiškai kontroliuojantis patikos struktūrą;</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turintis įgaliojimus ar pareigas, lygiavertes nurodytoms pirmame–penktame papunktyje.</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r w:rsidRPr="007239E0">
        <w:rPr>
          <w:rFonts w:ascii="Arial" w:eastAsia="Times New Roman" w:hAnsi="Arial" w:cs="Times New Roman"/>
          <w:sz w:val="16"/>
          <w:szCs w:val="24"/>
          <w:lang w:eastAsia="lt-LT"/>
        </w:rPr>
        <w:t>Jei ūkinę veiklą vykdo fizinis asmuo, kurio atžvilgiu nebuvo nustatytos prielaidos ar aplinkybės, rodančios, kad jį kontroliuoja kitas fizinis asmuo ar fiziniai asmenys, toks fizinis asmuo laikomas galutiniu naudos gavėju.</w:t>
      </w:r>
    </w:p>
    <w:sectPr w:rsidR="007239E0" w:rsidRPr="007239E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7B3" w:rsidRDefault="000C07B3" w:rsidP="007239E0">
      <w:pPr>
        <w:spacing w:after="0" w:line="240" w:lineRule="auto"/>
      </w:pPr>
      <w:r>
        <w:separator/>
      </w:r>
    </w:p>
  </w:endnote>
  <w:endnote w:type="continuationSeparator" w:id="0">
    <w:p w:rsidR="000C07B3" w:rsidRDefault="000C07B3"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7B3" w:rsidRDefault="000C07B3" w:rsidP="007239E0">
      <w:pPr>
        <w:spacing w:after="0" w:line="240" w:lineRule="auto"/>
      </w:pPr>
      <w:r>
        <w:separator/>
      </w:r>
    </w:p>
  </w:footnote>
  <w:footnote w:type="continuationSeparator" w:id="0">
    <w:p w:rsidR="000C07B3" w:rsidRDefault="000C07B3" w:rsidP="00723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0C07B3"/>
    <w:rsid w:val="001F2F54"/>
    <w:rsid w:val="00464738"/>
    <w:rsid w:val="007239E0"/>
    <w:rsid w:val="008A607E"/>
    <w:rsid w:val="00CF409C"/>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6447</Words>
  <Characters>3676</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Violeta Stonkienė</cp:lastModifiedBy>
  <cp:revision>2</cp:revision>
  <dcterms:created xsi:type="dcterms:W3CDTF">2024-02-19T08:11:00Z</dcterms:created>
  <dcterms:modified xsi:type="dcterms:W3CDTF">2024-02-19T08:11:00Z</dcterms:modified>
</cp:coreProperties>
</file>